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5E9D3" w14:textId="77777777" w:rsidR="00884C07" w:rsidRPr="00884C07" w:rsidRDefault="00884C07" w:rsidP="00884C07">
      <w:pPr>
        <w:spacing w:after="200" w:line="276" w:lineRule="auto"/>
        <w:rPr>
          <w:rFonts w:eastAsia="Calibri"/>
          <w:color w:val="404040"/>
          <w:lang w:eastAsia="en-US"/>
        </w:rPr>
      </w:pPr>
      <w:r w:rsidRPr="00884C07">
        <w:rPr>
          <w:rFonts w:eastAsia="Calibri"/>
          <w:b/>
          <w:bCs/>
          <w:lang w:eastAsia="en-US"/>
        </w:rPr>
        <w:t xml:space="preserve">STYRELSENS FÖRSLAG TILL BESLUT OM RIKTLINJER FÖR LÖN OCH ANNAN ERSÄTTNING </w:t>
      </w:r>
    </w:p>
    <w:p w14:paraId="3EF7F781" w14:textId="77777777" w:rsidR="00884C07" w:rsidRPr="00884C07" w:rsidRDefault="00884C07" w:rsidP="00884C07">
      <w:pPr>
        <w:spacing w:after="200" w:line="276" w:lineRule="auto"/>
        <w:rPr>
          <w:rFonts w:eastAsia="Calibri"/>
          <w:color w:val="404040"/>
          <w:lang w:eastAsia="en-US"/>
        </w:rPr>
      </w:pPr>
      <w:r w:rsidRPr="00884C07">
        <w:rPr>
          <w:rFonts w:eastAsia="Calibri"/>
          <w:lang w:eastAsia="en-US"/>
        </w:rPr>
        <w:t>Styrelsen föreslår att årsstämman den 4 maj 2020 beslutar om följande riktlinjer för lön och annan ersättning till styrelseledamöter, bolagets VD och andra ledande befattningshavare. Med kretsen ledande befattningshavare avses för närvarande VD, CFO, utvecklingschef, kund- och försäljningschef, produktchef och supportchef. Riktlinjerna gäller för avtal som ingås efter stämmans beslut samt för det fall ändringar görs i befintliga avtal efter denna tidpunkt. Riktlinjerna omfattar inte styrelsearvode som beslutas av bolagsstämman eller sådana emissioner och överlåtelser som omfattas av 16 kap. aktiebolagslagen.</w:t>
      </w:r>
    </w:p>
    <w:p w14:paraId="49DEDE03" w14:textId="77777777" w:rsidR="00884C07" w:rsidRPr="00884C07" w:rsidRDefault="00884C07" w:rsidP="00884C07">
      <w:pPr>
        <w:spacing w:after="200" w:line="276" w:lineRule="auto"/>
        <w:rPr>
          <w:rFonts w:eastAsia="Calibri"/>
          <w:lang w:eastAsia="en-US"/>
        </w:rPr>
      </w:pPr>
      <w:bookmarkStart w:id="0" w:name="_Hlk32907083"/>
      <w:r w:rsidRPr="00884C07">
        <w:rPr>
          <w:rFonts w:eastAsia="Calibri"/>
          <w:b/>
          <w:bCs/>
          <w:lang w:eastAsia="en-US"/>
        </w:rPr>
        <w:t>Riktlinjernas främjande av bolagets affärsstrategi</w:t>
      </w:r>
      <w:bookmarkEnd w:id="0"/>
      <w:r w:rsidRPr="00884C07">
        <w:rPr>
          <w:rFonts w:eastAsia="Calibri"/>
          <w:b/>
          <w:bCs/>
          <w:lang w:eastAsia="en-US"/>
        </w:rPr>
        <w:t xml:space="preserve"> m.m.</w:t>
      </w:r>
      <w:r w:rsidRPr="00884C07">
        <w:rPr>
          <w:rFonts w:eastAsia="Calibri"/>
          <w:b/>
          <w:bCs/>
          <w:lang w:eastAsia="en-US"/>
        </w:rPr>
        <w:br/>
      </w:r>
      <w:r w:rsidRPr="00884C07">
        <w:rPr>
          <w:rFonts w:eastAsia="Calibri"/>
          <w:lang w:eastAsia="en-US"/>
        </w:rPr>
        <w:br/>
        <w:t>Ortivus strategi för tillväxt och lönsamhet bygger på flera olika spår. Bolaget strävar kontinuerligt efter att bolaget ska ha marknadens mest konkurrenskraftiga lösning inom prehospital vård, genom att bredda och fördjupa sitt erbjudande med MobiMed-plattformen som bas. Bolaget erbjuder sina kunder beslutsstöd av högsta kvalitet vid sortering och prioritering, så kallad triagering, av patienter. Bolaget ökar sin marknadsnärvaro på huvudmarknaderna Sverige och Storbritannien genom en utbyggd försäljningsorganisation med syfte att öka försäljningen och säkerställa tillväxt. Därtill kommer bolaget inleda en geografisk expansion på ett antal strategiskt utvalda marknader. För att ytterligare driva tillväxt och ökad försäljning, framför allt på huvudmarknaderna Sverige och Storbritannien, kommer bolaget att satsa på MobiMed bland kunder i nya segment, till exempel kommunal äldreomsorg och olika typer av primärvårdsenheter. Utöver detta undersöker och utvärderar bolagets styrelse kontinuerligt partnerskap som ytterligare kan stärka bolagets position på marknaden.</w:t>
      </w:r>
    </w:p>
    <w:p w14:paraId="05F8043E" w14:textId="77777777" w:rsidR="00884C07" w:rsidRPr="00884C07" w:rsidRDefault="00884C07" w:rsidP="00884C07">
      <w:pPr>
        <w:pStyle w:val="Ingetavstnd"/>
        <w:rPr>
          <w:rFonts w:ascii="Times New Roman" w:hAnsi="Times New Roman" w:cs="Times New Roman"/>
          <w:sz w:val="24"/>
          <w:szCs w:val="24"/>
        </w:rPr>
      </w:pPr>
      <w:r w:rsidRPr="00884C07">
        <w:rPr>
          <w:rFonts w:ascii="Times New Roman" w:hAnsi="Times New Roman" w:cs="Times New Roman"/>
          <w:color w:val="auto"/>
          <w:sz w:val="24"/>
          <w:szCs w:val="24"/>
        </w:rPr>
        <w:t xml:space="preserve">Det är för bolaget och dess aktieägare av grundläggande betydelse att dessa riktlinjer i ett kort- och långsiktigt perspektiv skapar goda förutsättningar att attrahera och behålla skickliga medarbetare. Syftet med riktlinjerna är att skapa ökad transparens i ersättningsfrågor och genom relevanta ersättningsstrukturer skapa incitament för ledande befattningshavare, att verkställa strategiska planer och leverera goda operativa resultat för att stödja bolagets affärsstrategi samt långsiktiga intressen. För att uppnå detta är det viktigt att vidmakthålla marknadsmässiga och konkurrenskraftiga villkor till de ledande befattningshavarna. </w:t>
      </w:r>
    </w:p>
    <w:p w14:paraId="16C76843" w14:textId="77777777" w:rsidR="00884C07" w:rsidRPr="00884C07" w:rsidRDefault="00884C07" w:rsidP="00884C07">
      <w:pPr>
        <w:spacing w:after="200" w:line="276" w:lineRule="auto"/>
        <w:rPr>
          <w:rFonts w:eastAsia="Calibri"/>
          <w:b/>
          <w:bCs/>
          <w:lang w:eastAsia="en-US"/>
        </w:rPr>
      </w:pPr>
      <w:r w:rsidRPr="00884C07">
        <w:rPr>
          <w:rFonts w:eastAsia="Calibri"/>
          <w:b/>
          <w:bCs/>
          <w:lang w:eastAsia="en-US"/>
        </w:rPr>
        <w:t>Ersättning och ersättningsformer</w:t>
      </w:r>
    </w:p>
    <w:p w14:paraId="7AF78C7B"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 xml:space="preserve">Ersättningen till ledande befattningshavare ska vara marknadsmässig och konkurrenskraftig samt bestå av en fast lön, rörlig ersättning, pension och andra förmåner. En sådan kombination av ersättning ger möjlighet till både en kort och långsiktig målstyrning och verkar också för måluppfyllelse. Nedan beskrivs de olika former av ersättning som kan komma att betalas ut. </w:t>
      </w:r>
    </w:p>
    <w:p w14:paraId="05D54917" w14:textId="13E844C9" w:rsidR="00884C07" w:rsidRPr="00884C07" w:rsidRDefault="00884C07" w:rsidP="00884C07">
      <w:pPr>
        <w:pStyle w:val="Ingetavstnd"/>
        <w:rPr>
          <w:rFonts w:ascii="Times New Roman" w:hAnsi="Times New Roman" w:cs="Times New Roman"/>
          <w:i/>
          <w:iCs/>
          <w:sz w:val="24"/>
          <w:szCs w:val="24"/>
        </w:rPr>
      </w:pPr>
      <w:r w:rsidRPr="00884C07">
        <w:rPr>
          <w:rFonts w:ascii="Times New Roman" w:hAnsi="Times New Roman" w:cs="Times New Roman"/>
          <w:i/>
          <w:iCs/>
          <w:sz w:val="24"/>
          <w:szCs w:val="24"/>
        </w:rPr>
        <w:t>Fast lön</w:t>
      </w:r>
    </w:p>
    <w:p w14:paraId="6261BB50"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Utgångspunkten för ersättning till ledande befattningshavare är att ersättning utgår i form av en marknadsmässig fast lön som ska vara individuellt fastställd utifrån befattning, kompetens, erfarenhet och prestation. Revidering av den fasta lönen sker årsvis.</w:t>
      </w:r>
    </w:p>
    <w:p w14:paraId="5A5BE299" w14:textId="77777777" w:rsidR="00884C07" w:rsidRPr="00884C07" w:rsidRDefault="00884C07" w:rsidP="00884C07">
      <w:pPr>
        <w:pStyle w:val="Ingetavstnd"/>
        <w:rPr>
          <w:rFonts w:ascii="Times New Roman" w:hAnsi="Times New Roman" w:cs="Times New Roman"/>
          <w:i/>
          <w:iCs/>
          <w:sz w:val="24"/>
          <w:szCs w:val="24"/>
        </w:rPr>
      </w:pPr>
      <w:r w:rsidRPr="00884C07">
        <w:rPr>
          <w:rFonts w:ascii="Times New Roman" w:hAnsi="Times New Roman" w:cs="Times New Roman"/>
          <w:i/>
          <w:iCs/>
          <w:sz w:val="24"/>
          <w:szCs w:val="24"/>
        </w:rPr>
        <w:lastRenderedPageBreak/>
        <w:t>Rörlig ersättning</w:t>
      </w:r>
    </w:p>
    <w:p w14:paraId="1210EF10"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 xml:space="preserve">Styrelsen kan efter beredning i bolagets ersättningsutskott, besluta att en ledande befattningshavare ska kunna erhålla en rörlig ersättning som ska bestämmas utifrån följande målkriterier: </w:t>
      </w:r>
    </w:p>
    <w:p w14:paraId="2EAFE65F"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 xml:space="preserve">(a) utifrån uppfyllelsen av i förväg uppställda målkriterier på koncern- och individnivå med beaktande av bolagets affärsstrategi och ekonomiska och verksamhetsmässiga utveckling i form av resultatbaserade mål relaterade till omsättning och rörelseresultat eller andra finansiella nyckeltal samt </w:t>
      </w:r>
    </w:p>
    <w:p w14:paraId="2D258EC6"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(b) med beaktande av berörd befattningshavares personliga utveckling.</w:t>
      </w:r>
    </w:p>
    <w:p w14:paraId="14E3079E"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 xml:space="preserve">Mätperioden för rörlig ersättning är både kvartalsvis och kalenderårsvis. Den rörliga ersättningen skall sammantaget beloppsmässigt inte kunna överstiga 50 procent av den fasta lön som utbetalats till berörd befattningshavare under aktuellt kalenderår. Vidare är den rörliga ersättning som kan utgå ett kvartal begränsat till högst 50% av den rörliga ersättning som kan utgå baserat på måluppfyllelsen aktuellt kvartal. </w:t>
      </w:r>
    </w:p>
    <w:p w14:paraId="64A7E906" w14:textId="77777777" w:rsidR="00884C07" w:rsidRPr="00884C07" w:rsidRDefault="00884C07" w:rsidP="00884C07">
      <w:pPr>
        <w:pStyle w:val="Ingetavstnd"/>
        <w:rPr>
          <w:rFonts w:ascii="Times New Roman" w:hAnsi="Times New Roman" w:cs="Times New Roman"/>
          <w:sz w:val="24"/>
          <w:szCs w:val="24"/>
        </w:rPr>
      </w:pPr>
      <w:r w:rsidRPr="00884C07">
        <w:rPr>
          <w:rFonts w:ascii="Times New Roman" w:eastAsia="NeoSansW1G-Light" w:hAnsi="Times New Roman" w:cs="Times New Roman"/>
          <w:color w:val="auto"/>
          <w:sz w:val="24"/>
          <w:szCs w:val="24"/>
          <w:lang w:eastAsia="en-GB" w:bidi="en-GB"/>
        </w:rPr>
        <w:t xml:space="preserve">När mätperioden för bedömningen angående huruvida de förutbestämda målen är uppfyllda har avslutats, ska VD bedöma i vilken utsträckningen målen är uppfyllda. För VD bedömer ersättningsutskottet i vilken utsträckning målen är uppfyllda. Såvitt avser resultatmålen så sker bedömningen utifrån senast offentliggjorda finansiella information avseende aktuellt kvartal respektive kalenderår och utbetalning sker i samband med utbetalning av den fasta lönen därefter. </w:t>
      </w:r>
      <w:r w:rsidRPr="00884C07">
        <w:rPr>
          <w:rFonts w:ascii="Times New Roman" w:hAnsi="Times New Roman" w:cs="Times New Roman"/>
          <w:color w:val="auto"/>
          <w:sz w:val="24"/>
          <w:szCs w:val="24"/>
        </w:rPr>
        <w:t>Utbetalning sker enbart om den ledande befattningshavaren är anställd då utbetalning sker.</w:t>
      </w:r>
      <w:r w:rsidRPr="00884C07">
        <w:rPr>
          <w:rFonts w:ascii="Times New Roman" w:eastAsia="NeoSansW1G-Light" w:hAnsi="Times New Roman" w:cs="Times New Roman"/>
          <w:color w:val="auto"/>
          <w:sz w:val="24"/>
          <w:szCs w:val="24"/>
          <w:lang w:eastAsia="en-GB" w:bidi="en-GB"/>
        </w:rPr>
        <w:br/>
      </w:r>
      <w:r w:rsidRPr="00884C07">
        <w:rPr>
          <w:rFonts w:ascii="Times New Roman" w:hAnsi="Times New Roman" w:cs="Times New Roman"/>
          <w:i/>
          <w:iCs/>
          <w:color w:val="auto"/>
          <w:sz w:val="24"/>
          <w:szCs w:val="24"/>
        </w:rPr>
        <w:br/>
      </w:r>
      <w:r w:rsidRPr="00884C07">
        <w:rPr>
          <w:rFonts w:ascii="Times New Roman" w:eastAsia="NeoSansW1G-Light" w:hAnsi="Times New Roman" w:cs="Times New Roman"/>
          <w:color w:val="auto"/>
          <w:sz w:val="24"/>
          <w:szCs w:val="24"/>
          <w:lang w:eastAsia="en-GB" w:bidi="en-GB"/>
        </w:rPr>
        <w:t>Bolaget har inte några uppskovsperioder.  Bolaget skall ha rätt att återkräva rörlig ersättning om en utbetalning grundat sig på information som senare visat sig vara uppenbart felaktig.</w:t>
      </w:r>
      <w:r w:rsidRPr="00884C07">
        <w:rPr>
          <w:rFonts w:ascii="Times New Roman" w:eastAsia="NeoSansW1G-Light" w:hAnsi="Times New Roman" w:cs="Times New Roman"/>
          <w:color w:val="auto"/>
          <w:sz w:val="24"/>
          <w:szCs w:val="24"/>
          <w:lang w:eastAsia="en-GB" w:bidi="en-GB"/>
        </w:rPr>
        <w:br/>
      </w:r>
      <w:r w:rsidRPr="00884C07">
        <w:rPr>
          <w:rFonts w:ascii="Times New Roman" w:eastAsia="NeoSansW1G-Light" w:hAnsi="Times New Roman" w:cs="Times New Roman"/>
          <w:color w:val="auto"/>
          <w:sz w:val="24"/>
          <w:szCs w:val="24"/>
          <w:lang w:eastAsia="en-GB" w:bidi="en-GB"/>
        </w:rPr>
        <w:br/>
      </w:r>
      <w:r w:rsidRPr="00884C07">
        <w:rPr>
          <w:rFonts w:ascii="Times New Roman" w:hAnsi="Times New Roman" w:cs="Times New Roman"/>
          <w:i/>
          <w:iCs/>
          <w:sz w:val="24"/>
          <w:szCs w:val="24"/>
        </w:rPr>
        <w:t>Aktiebaserat incitamentsprogram</w:t>
      </w:r>
    </w:p>
    <w:p w14:paraId="18A386F7" w14:textId="77777777" w:rsidR="00884C07" w:rsidRPr="00884C07" w:rsidRDefault="00884C07" w:rsidP="00884C07">
      <w:r w:rsidRPr="00884C07">
        <w:t xml:space="preserve">I syfte att skapa ytterligare incitament samt stärka långsiktighet i beslutfattande och måluppfyllelse kan styrelsen i förekommande fall föreslå stämman att besluta om aktiebaserat incitamentsprogram. För närvarande finns inget utestående aktiebaserat incitamentsprogram. </w:t>
      </w:r>
      <w:r w:rsidRPr="00884C07">
        <w:br/>
      </w:r>
    </w:p>
    <w:p w14:paraId="547D67E7" w14:textId="04439519"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i/>
          <w:iCs/>
          <w:color w:val="auto"/>
          <w:sz w:val="24"/>
          <w:szCs w:val="24"/>
        </w:rPr>
        <w:t>Pension</w:t>
      </w:r>
      <w:r w:rsidRPr="00884C07">
        <w:rPr>
          <w:rFonts w:ascii="Times New Roman" w:hAnsi="Times New Roman" w:cs="Times New Roman"/>
          <w:i/>
          <w:iCs/>
          <w:color w:val="auto"/>
          <w:sz w:val="24"/>
          <w:szCs w:val="24"/>
        </w:rPr>
        <w:br/>
      </w:r>
      <w:r w:rsidRPr="00884C07">
        <w:rPr>
          <w:rFonts w:ascii="Times New Roman" w:hAnsi="Times New Roman" w:cs="Times New Roman"/>
          <w:i/>
          <w:iCs/>
          <w:color w:val="auto"/>
          <w:sz w:val="24"/>
          <w:szCs w:val="24"/>
        </w:rPr>
        <w:br/>
      </w:r>
      <w:r w:rsidRPr="00884C07">
        <w:rPr>
          <w:rFonts w:ascii="Times New Roman" w:hAnsi="Times New Roman" w:cs="Times New Roman"/>
          <w:sz w:val="24"/>
          <w:szCs w:val="24"/>
        </w:rPr>
        <w:t xml:space="preserve">Pensionsvillkor ska vara marknadsmässiga i förhållande till vad som generellt gäller för motsvarande befattningshavare på marknaden samt individuellt anpassade med hänsyn till respektive befattningshavares särskilda kompetens och anpassade till bolagets kostnader. </w:t>
      </w:r>
      <w:r w:rsidRPr="00884C07">
        <w:rPr>
          <w:rFonts w:ascii="Times New Roman" w:hAnsi="Times New Roman" w:cs="Times New Roman"/>
          <w:color w:val="auto"/>
          <w:sz w:val="24"/>
          <w:szCs w:val="24"/>
        </w:rPr>
        <w:t>Pensionsförmåner, innefattande sjukförsäkring, ska vara premiebestämda. Huvudregel</w:t>
      </w:r>
      <w:r>
        <w:rPr>
          <w:rFonts w:ascii="Times New Roman" w:hAnsi="Times New Roman" w:cs="Times New Roman"/>
          <w:color w:val="auto"/>
          <w:sz w:val="24"/>
          <w:szCs w:val="24"/>
        </w:rPr>
        <w:t>n</w:t>
      </w:r>
      <w:r w:rsidRPr="00884C07">
        <w:rPr>
          <w:rFonts w:ascii="Times New Roman" w:hAnsi="Times New Roman" w:cs="Times New Roman"/>
          <w:color w:val="auto"/>
          <w:sz w:val="24"/>
          <w:szCs w:val="24"/>
        </w:rPr>
        <w:t xml:space="preserve"> är att rörlig kontantersättning </w:t>
      </w:r>
      <w:r w:rsidR="00862957">
        <w:rPr>
          <w:rFonts w:ascii="Times New Roman" w:hAnsi="Times New Roman" w:cs="Times New Roman"/>
          <w:color w:val="auto"/>
          <w:sz w:val="24"/>
          <w:szCs w:val="24"/>
        </w:rPr>
        <w:t>inte skall</w:t>
      </w:r>
      <w:r w:rsidRPr="00884C07">
        <w:rPr>
          <w:rFonts w:ascii="Times New Roman" w:hAnsi="Times New Roman" w:cs="Times New Roman"/>
          <w:color w:val="auto"/>
          <w:sz w:val="24"/>
          <w:szCs w:val="24"/>
        </w:rPr>
        <w:t xml:space="preserve"> vara pensionsgrundande. Pensionspremierna för premiebestämd pension ska uppgå till högst 35 procent av den fasta delen av ersättningen. Pensionsålder för ledande befattningshavare är 65 år.</w:t>
      </w:r>
    </w:p>
    <w:p w14:paraId="6A07EF45" w14:textId="4C7826BA" w:rsidR="00884C07" w:rsidRPr="00884C07" w:rsidRDefault="00884C07" w:rsidP="00884C07">
      <w:pPr>
        <w:pStyle w:val="Ingetavstnd"/>
        <w:rPr>
          <w:rFonts w:ascii="Times New Roman" w:hAnsi="Times New Roman" w:cs="Times New Roman"/>
          <w:sz w:val="24"/>
          <w:szCs w:val="24"/>
        </w:rPr>
      </w:pPr>
      <w:r w:rsidRPr="00884C07">
        <w:rPr>
          <w:rFonts w:ascii="Times New Roman" w:hAnsi="Times New Roman" w:cs="Times New Roman"/>
          <w:color w:val="auto"/>
          <w:sz w:val="24"/>
          <w:szCs w:val="24"/>
        </w:rPr>
        <w:lastRenderedPageBreak/>
        <w:t>För ytterligare information angående pensionsvillkoren se not 5 i Årsredovisningen</w:t>
      </w:r>
      <w:r>
        <w:rPr>
          <w:rFonts w:ascii="Times New Roman" w:hAnsi="Times New Roman" w:cs="Times New Roman"/>
          <w:color w:val="auto"/>
          <w:sz w:val="24"/>
          <w:szCs w:val="24"/>
        </w:rPr>
        <w:t xml:space="preserve"> för 2019.</w:t>
      </w:r>
    </w:p>
    <w:p w14:paraId="4D73088D" w14:textId="77777777" w:rsidR="00884C07" w:rsidRPr="00884C07" w:rsidRDefault="00884C07" w:rsidP="00884C07">
      <w:pPr>
        <w:pStyle w:val="Ingetavstnd"/>
        <w:rPr>
          <w:rFonts w:ascii="Times New Roman" w:hAnsi="Times New Roman" w:cs="Times New Roman"/>
          <w:i/>
          <w:iCs/>
          <w:color w:val="auto"/>
          <w:sz w:val="24"/>
          <w:szCs w:val="24"/>
        </w:rPr>
      </w:pPr>
      <w:r w:rsidRPr="00884C07">
        <w:rPr>
          <w:rFonts w:ascii="Times New Roman" w:hAnsi="Times New Roman" w:cs="Times New Roman"/>
          <w:i/>
          <w:iCs/>
          <w:color w:val="auto"/>
          <w:sz w:val="24"/>
          <w:szCs w:val="24"/>
        </w:rPr>
        <w:t>Övriga förmåner</w:t>
      </w:r>
    </w:p>
    <w:p w14:paraId="511BE4EF" w14:textId="77777777" w:rsidR="00884C07" w:rsidRPr="00884C07" w:rsidRDefault="00884C07" w:rsidP="00884C07">
      <w:pPr>
        <w:pStyle w:val="Ingetavstnd"/>
        <w:rPr>
          <w:rFonts w:ascii="Times New Roman" w:hAnsi="Times New Roman" w:cs="Times New Roman"/>
          <w:i/>
          <w:iCs/>
          <w:color w:val="auto"/>
          <w:sz w:val="24"/>
          <w:szCs w:val="24"/>
        </w:rPr>
      </w:pPr>
      <w:r w:rsidRPr="00884C07">
        <w:rPr>
          <w:rFonts w:ascii="Times New Roman" w:hAnsi="Times New Roman" w:cs="Times New Roman"/>
          <w:color w:val="auto"/>
          <w:sz w:val="24"/>
          <w:szCs w:val="24"/>
        </w:rPr>
        <w:t xml:space="preserve">Förmåner utöver lön och pension utgår för samtliga ledande befattningshavare i form av sjukvårdsförsäkring och i vissa fall med tjänstebil. Dessa förmåner ska utgöra en mindre del av den totala kompensationen och överensstämma med vad som är marknadsmässigt brukligt. Premier och andra kostnader i anledning av sådana förmåner får sammanlagt uppgå till högst 15 procent av den fasta delen av ersättningen. </w:t>
      </w:r>
      <w:r w:rsidRPr="00884C07">
        <w:rPr>
          <w:rFonts w:ascii="Times New Roman" w:hAnsi="Times New Roman" w:cs="Times New Roman"/>
          <w:color w:val="auto"/>
          <w:sz w:val="24"/>
          <w:szCs w:val="24"/>
        </w:rPr>
        <w:br/>
      </w:r>
      <w:bookmarkStart w:id="1" w:name="_Hlk508807249"/>
      <w:r w:rsidRPr="00884C07">
        <w:rPr>
          <w:rFonts w:ascii="Times New Roman" w:eastAsia="Times New Roman" w:hAnsi="Times New Roman" w:cs="Times New Roman"/>
          <w:b/>
          <w:bCs/>
          <w:sz w:val="24"/>
          <w:szCs w:val="24"/>
        </w:rPr>
        <w:br/>
      </w:r>
      <w:r w:rsidRPr="00884C07">
        <w:rPr>
          <w:rFonts w:ascii="Times New Roman" w:hAnsi="Times New Roman" w:cs="Times New Roman"/>
          <w:i/>
          <w:iCs/>
          <w:color w:val="auto"/>
          <w:sz w:val="24"/>
          <w:szCs w:val="24"/>
        </w:rPr>
        <w:t>Villkor vid uppsägning m.m.</w:t>
      </w:r>
    </w:p>
    <w:p w14:paraId="362A8B41"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Villkor om konkurrensförbud finns för VD, CFO, kund- och försäljningschef, produktchef och supportchef. För CFO, kund- och försäljningschef, produktchef och supportchef ersätter Ortivus, under maximalt 1 år, mellanskillnaden av senaste fasta månadslönen utbetald från Ortivus och den fasta lön arbetstagaren får i sin nya anställning. För VD ersätter Ortivus, under maximalt 1 år, mellanskillnaden av senaste fasta månadslönen utbetald från Ortivus och den fasta lön arbetstagaren får i sin nya anställning, dock maximalt 60% av VD’s senaste fasta månadslön.</w:t>
      </w:r>
    </w:p>
    <w:p w14:paraId="192CFBB5" w14:textId="77777777" w:rsidR="00884C07" w:rsidRPr="00884C07" w:rsidRDefault="00884C07" w:rsidP="00884C07">
      <w:pPr>
        <w:pStyle w:val="Ingetavstnd"/>
        <w:rPr>
          <w:rFonts w:ascii="Times New Roman" w:hAnsi="Times New Roman" w:cs="Times New Roman"/>
          <w:i/>
          <w:iCs/>
          <w:color w:val="auto"/>
          <w:sz w:val="24"/>
          <w:szCs w:val="24"/>
        </w:rPr>
      </w:pPr>
      <w:r w:rsidRPr="00884C07">
        <w:rPr>
          <w:rFonts w:ascii="Times New Roman" w:hAnsi="Times New Roman" w:cs="Times New Roman"/>
          <w:color w:val="auto"/>
          <w:sz w:val="24"/>
          <w:szCs w:val="24"/>
        </w:rPr>
        <w:t>Uppsägningstid för VD från bolagets sida är 6 månader och för övriga ledande befattningshavare 3 månader. Ingen av ledande befattningshavare har rätt till avgångsvederlag.</w:t>
      </w:r>
      <w:r w:rsidRPr="00884C07">
        <w:rPr>
          <w:rFonts w:ascii="Times New Roman" w:hAnsi="Times New Roman" w:cs="Times New Roman"/>
          <w:color w:val="auto"/>
          <w:sz w:val="24"/>
          <w:szCs w:val="24"/>
        </w:rPr>
        <w:br/>
      </w:r>
      <w:r w:rsidRPr="00884C07">
        <w:rPr>
          <w:rFonts w:ascii="Times New Roman" w:hAnsi="Times New Roman" w:cs="Times New Roman"/>
          <w:color w:val="auto"/>
          <w:sz w:val="24"/>
          <w:szCs w:val="24"/>
        </w:rPr>
        <w:br/>
      </w:r>
      <w:r w:rsidRPr="00884C07">
        <w:rPr>
          <w:rFonts w:ascii="Times New Roman" w:hAnsi="Times New Roman" w:cs="Times New Roman"/>
          <w:i/>
          <w:iCs/>
          <w:color w:val="auto"/>
          <w:sz w:val="24"/>
          <w:szCs w:val="24"/>
        </w:rPr>
        <w:t>Lön och anställningsvillkor för övriga anställda</w:t>
      </w:r>
    </w:p>
    <w:p w14:paraId="6DC0FFFB" w14:textId="77777777" w:rsidR="00884C07" w:rsidRPr="00884C07" w:rsidRDefault="00884C07" w:rsidP="00884C07">
      <w:pPr>
        <w:rPr>
          <w:rFonts w:eastAsiaTheme="minorHAnsi"/>
          <w:i/>
          <w:iCs/>
          <w:lang w:eastAsia="en-US"/>
        </w:rPr>
      </w:pPr>
      <w:r w:rsidRPr="00884C07">
        <w:t>Vid framtagandet av detta förslag till riktlinjer har lön och anställningsvillkor för bolagets anställda beaktats genom att uppgifter om anställdas totalersättning, ersättningens komponenter samt ersättningens ökning och ökningstakt över tid har utgjort en del av styrelsens beslutsunderlag vid utvärderingen av skäligheten av riktlinjerna och de begränsningar som följer av dessa. Utvecklingen av avståndet mellan de ledande befattningshavarnas ersättning och övriga anställdas ersättning kommer att redovisas i ersättningsrapporten som tas fram inför årsstämma 2021.</w:t>
      </w:r>
      <w:r w:rsidRPr="00884C07">
        <w:br/>
      </w:r>
      <w:r w:rsidRPr="00884C07">
        <w:rPr>
          <w:b/>
          <w:bCs/>
        </w:rPr>
        <w:br/>
      </w:r>
      <w:r w:rsidRPr="00884C07">
        <w:rPr>
          <w:rFonts w:eastAsiaTheme="minorHAnsi"/>
          <w:i/>
          <w:iCs/>
          <w:lang w:eastAsia="en-US"/>
        </w:rPr>
        <w:t>Beslutsprocessen för att fastställa, se över och genomföra riktlinjerna</w:t>
      </w:r>
    </w:p>
    <w:p w14:paraId="202926FD" w14:textId="77777777" w:rsidR="00884C07" w:rsidRPr="00884C07" w:rsidRDefault="00884C07" w:rsidP="00884C07">
      <w:pPr>
        <w:pStyle w:val="Ingetavstnd"/>
        <w:rPr>
          <w:rFonts w:ascii="Times New Roman" w:hAnsi="Times New Roman" w:cs="Times New Roman"/>
          <w:sz w:val="24"/>
          <w:szCs w:val="24"/>
          <w:lang w:val="fr-FR"/>
        </w:rPr>
      </w:pPr>
    </w:p>
    <w:p w14:paraId="65C9737A" w14:textId="77777777" w:rsidR="00884C07" w:rsidRPr="00884C07" w:rsidRDefault="00884C07" w:rsidP="00884C07">
      <w:pPr>
        <w:pStyle w:val="Ingetavstnd"/>
        <w:rPr>
          <w:rFonts w:ascii="Times New Roman" w:hAnsi="Times New Roman" w:cs="Times New Roman"/>
          <w:sz w:val="24"/>
          <w:szCs w:val="24"/>
        </w:rPr>
      </w:pPr>
      <w:r w:rsidRPr="00884C07">
        <w:rPr>
          <w:rFonts w:ascii="Times New Roman" w:hAnsi="Times New Roman" w:cs="Times New Roman"/>
          <w:sz w:val="24"/>
          <w:szCs w:val="24"/>
          <w:lang w:val="fr-FR"/>
        </w:rPr>
        <w:t>Styrelsen har inrättat ett ersättningsutskott för beredning av ersättningsfrågor m.m. för ledande befattningshavare.</w:t>
      </w:r>
      <w:r w:rsidRPr="00884C07">
        <w:rPr>
          <w:rFonts w:ascii="Times New Roman" w:hAnsi="Times New Roman" w:cs="Times New Roman"/>
          <w:color w:val="auto"/>
          <w:sz w:val="24"/>
          <w:szCs w:val="24"/>
        </w:rPr>
        <w:t xml:space="preserve"> Det åligger ersättningsutskottet att följa och utvärdera eventuella program för rörliga ersättningar för ledande befattningshavare, tillämpningen av riktlinjerna samt gällande ersättningsstrukturer och ersättningsnivåer i bolaget.</w:t>
      </w:r>
      <w:r w:rsidRPr="00884C07">
        <w:rPr>
          <w:rFonts w:ascii="Times New Roman" w:hAnsi="Times New Roman" w:cs="Times New Roman"/>
          <w:sz w:val="24"/>
          <w:szCs w:val="24"/>
          <w:lang w:val="fr-FR"/>
        </w:rPr>
        <w:t xml:space="preserve"> Ersättningsutskottet utvärderar även riklinjerna för ersättningar till ledande befattningshavare och lämnar i förekommande fall förslag till styrelsen avseende revidering av riktlinjerna.  </w:t>
      </w:r>
    </w:p>
    <w:p w14:paraId="7C5FF8AB" w14:textId="77777777" w:rsidR="00884C07" w:rsidRPr="00884C07" w:rsidRDefault="00884C07" w:rsidP="00884C07">
      <w:pPr>
        <w:pStyle w:val="Ingetavstnd"/>
        <w:rPr>
          <w:rFonts w:ascii="Times New Roman" w:hAnsi="Times New Roman" w:cs="Times New Roman"/>
          <w:sz w:val="24"/>
          <w:szCs w:val="24"/>
        </w:rPr>
      </w:pPr>
      <w:r w:rsidRPr="00884C07">
        <w:rPr>
          <w:rFonts w:ascii="Times New Roman" w:hAnsi="Times New Roman" w:cs="Times New Roman"/>
          <w:sz w:val="24"/>
          <w:szCs w:val="24"/>
          <w:lang w:val="fr-FR"/>
        </w:rPr>
        <w:t xml:space="preserve">Styrelsen ansvarar för att upprätta förslag till nya riktlinjer åtminstone vart fjärde år samt för att lägga fram förslaget för beslut av bolagsstämman. Riktlinjerna ska gälla till dess att nya riktlinjer antagits av bolagsstämman. </w:t>
      </w:r>
    </w:p>
    <w:p w14:paraId="08D3A0CD" w14:textId="77777777" w:rsidR="00884C07" w:rsidRPr="00884C07" w:rsidRDefault="00884C07" w:rsidP="00884C07">
      <w:pPr>
        <w:pStyle w:val="Ingetavstnd"/>
        <w:rPr>
          <w:rFonts w:ascii="Times New Roman" w:hAnsi="Times New Roman" w:cs="Times New Roman"/>
          <w:sz w:val="24"/>
          <w:szCs w:val="24"/>
        </w:rPr>
      </w:pPr>
      <w:r w:rsidRPr="00884C07">
        <w:rPr>
          <w:rFonts w:ascii="Times New Roman" w:hAnsi="Times New Roman" w:cs="Times New Roman"/>
          <w:color w:val="auto"/>
          <w:sz w:val="24"/>
          <w:szCs w:val="24"/>
        </w:rPr>
        <w:lastRenderedPageBreak/>
        <w:t xml:space="preserve">Vid styrelsens behandling av och beslut i ersättningsrelaterade frågor närvarar inte VD eller andra personer i bolagsledningen, i den mån de berörs av frågorna. Vid alla beslut säkerställs att intressekonflikter motverkas samt att eventuella intressekonflikter hanteras i enlighet med bolagets intressekonfliktspolicy som styrelsen antagit i </w:t>
      </w:r>
      <w:r w:rsidRPr="00884C07">
        <w:rPr>
          <w:rFonts w:ascii="Times New Roman" w:hAnsi="Times New Roman" w:cs="Times New Roman"/>
          <w:sz w:val="24"/>
          <w:szCs w:val="24"/>
          <w:lang w:val="fr-FR"/>
        </w:rPr>
        <w:t>syfte att åstadkomma en professionell och tydlig vägledning i fråga om intressekonflikter</w:t>
      </w:r>
      <w:r w:rsidRPr="00884C07">
        <w:rPr>
          <w:rFonts w:ascii="Times New Roman" w:hAnsi="Times New Roman" w:cs="Times New Roman"/>
          <w:color w:val="auto"/>
          <w:sz w:val="24"/>
          <w:szCs w:val="24"/>
        </w:rPr>
        <w:t>.</w:t>
      </w:r>
    </w:p>
    <w:p w14:paraId="39CC8282" w14:textId="77777777" w:rsidR="00884C07" w:rsidRPr="00884C07" w:rsidRDefault="00884C07" w:rsidP="00884C07">
      <w:pPr>
        <w:rPr>
          <w:i/>
          <w:iCs/>
        </w:rPr>
      </w:pPr>
      <w:r w:rsidRPr="00884C07">
        <w:rPr>
          <w:i/>
          <w:iCs/>
        </w:rPr>
        <w:t>Ersättning till styrelseledamöter</w:t>
      </w:r>
    </w:p>
    <w:p w14:paraId="75B78B3E"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sz w:val="24"/>
          <w:szCs w:val="24"/>
        </w:rPr>
        <w:br/>
      </w:r>
      <w:r w:rsidRPr="00884C07">
        <w:rPr>
          <w:rFonts w:ascii="Times New Roman" w:hAnsi="Times New Roman" w:cs="Times New Roman"/>
          <w:color w:val="auto"/>
          <w:sz w:val="24"/>
          <w:szCs w:val="24"/>
        </w:rPr>
        <w:t xml:space="preserve">Stämmovalda styrelseledamöter ska i särskilda fall kunna erhålla arvode och annan ersättning för arbete som utförs för bolagets räkning, vid sidan av styrelsearbetet. För sådana tjänster ska kunna utgå ett marknadsmässigt arvode som ska godkännas av styrelsen. </w:t>
      </w:r>
      <w:r w:rsidRPr="00884C07">
        <w:rPr>
          <w:rFonts w:ascii="Times New Roman" w:hAnsi="Times New Roman" w:cs="Times New Roman"/>
          <w:i/>
          <w:iCs/>
          <w:color w:val="auto"/>
          <w:sz w:val="24"/>
          <w:szCs w:val="24"/>
        </w:rPr>
        <w:br/>
      </w:r>
      <w:r w:rsidRPr="00884C07">
        <w:rPr>
          <w:rFonts w:ascii="Times New Roman" w:hAnsi="Times New Roman" w:cs="Times New Roman"/>
          <w:i/>
          <w:iCs/>
          <w:color w:val="auto"/>
          <w:sz w:val="24"/>
          <w:szCs w:val="24"/>
        </w:rPr>
        <w:br/>
        <w:t>Frångående av riktlinjerna</w:t>
      </w:r>
    </w:p>
    <w:p w14:paraId="1D65B772" w14:textId="77777777" w:rsidR="00884C07" w:rsidRPr="00884C07" w:rsidRDefault="00884C07" w:rsidP="00884C07">
      <w:pPr>
        <w:rPr>
          <w:rFonts w:eastAsiaTheme="minorHAnsi"/>
        </w:rPr>
      </w:pPr>
      <w:r w:rsidRPr="00884C07">
        <w:t xml:space="preserve">Styrelsen får besluta att tillfälligt frångå riktlinjerna helt eller delvis, om det i ett enskilt fall finns särskilda skäl för det och ett avsteg är nödvändigt för att tillgodose bolagets långsiktiga intressen, dess hållbarhet eller för att säkerställa bolagets ekonomiska bärkraft. </w:t>
      </w:r>
      <w:r w:rsidRPr="00884C07">
        <w:br/>
      </w:r>
    </w:p>
    <w:p w14:paraId="623B55DF" w14:textId="77777777" w:rsidR="00884C07" w:rsidRPr="00884C07" w:rsidRDefault="00884C07" w:rsidP="00884C07">
      <w:pPr>
        <w:pStyle w:val="Ingetavstnd"/>
        <w:rPr>
          <w:rFonts w:ascii="Times New Roman" w:hAnsi="Times New Roman" w:cs="Times New Roman"/>
          <w:i/>
          <w:iCs/>
          <w:color w:val="auto"/>
          <w:sz w:val="24"/>
          <w:szCs w:val="24"/>
        </w:rPr>
      </w:pPr>
      <w:r w:rsidRPr="00884C07">
        <w:rPr>
          <w:rFonts w:ascii="Times New Roman" w:hAnsi="Times New Roman" w:cs="Times New Roman"/>
          <w:i/>
          <w:iCs/>
          <w:color w:val="auto"/>
          <w:sz w:val="24"/>
          <w:szCs w:val="24"/>
        </w:rPr>
        <w:t xml:space="preserve">Beskrivning av betydande förändringar av riktlinjerna </w:t>
      </w:r>
    </w:p>
    <w:p w14:paraId="195A3477" w14:textId="77777777" w:rsidR="00884C07" w:rsidRPr="00884C07" w:rsidRDefault="00884C07" w:rsidP="00884C07">
      <w:pPr>
        <w:pStyle w:val="Ingetavstnd"/>
        <w:rPr>
          <w:rFonts w:ascii="Times New Roman" w:hAnsi="Times New Roman" w:cs="Times New Roman"/>
          <w:i/>
          <w:iCs/>
          <w:color w:val="auto"/>
          <w:sz w:val="24"/>
          <w:szCs w:val="24"/>
        </w:rPr>
      </w:pPr>
      <w:r w:rsidRPr="00884C07">
        <w:rPr>
          <w:rFonts w:ascii="Times New Roman" w:hAnsi="Times New Roman" w:cs="Times New Roman"/>
          <w:color w:val="auto"/>
          <w:sz w:val="24"/>
          <w:szCs w:val="24"/>
        </w:rPr>
        <w:t>Riktlinjernas innehåll har setts över och anpassats med anledning av de lagkrav som uppkommit till följd av Europaparlamentets och rådets direktiv (EU) 2017/828 om ändring av direktiv 2007/36/EG vad gäller uppmuntrande av aktieägares långsiktiga engagemang.</w:t>
      </w:r>
      <w:r w:rsidRPr="00884C07">
        <w:rPr>
          <w:rFonts w:ascii="Times New Roman" w:hAnsi="Times New Roman" w:cs="Times New Roman"/>
          <w:color w:val="auto"/>
          <w:sz w:val="24"/>
          <w:szCs w:val="24"/>
        </w:rPr>
        <w:br/>
      </w:r>
      <w:r w:rsidRPr="00884C07">
        <w:rPr>
          <w:rFonts w:ascii="Times New Roman" w:hAnsi="Times New Roman" w:cs="Times New Roman"/>
          <w:color w:val="auto"/>
          <w:sz w:val="24"/>
          <w:szCs w:val="24"/>
        </w:rPr>
        <w:br/>
      </w:r>
      <w:r w:rsidRPr="00884C07">
        <w:rPr>
          <w:rFonts w:ascii="Times New Roman" w:hAnsi="Times New Roman" w:cs="Times New Roman"/>
          <w:i/>
          <w:iCs/>
          <w:color w:val="auto"/>
          <w:sz w:val="24"/>
          <w:szCs w:val="24"/>
        </w:rPr>
        <w:t>Övrigt</w:t>
      </w:r>
    </w:p>
    <w:p w14:paraId="349B74A6" w14:textId="77777777" w:rsidR="00884C07" w:rsidRPr="00884C07" w:rsidRDefault="00884C07" w:rsidP="00884C07">
      <w:pPr>
        <w:pStyle w:val="Ingetavstnd"/>
        <w:rPr>
          <w:rFonts w:ascii="Times New Roman" w:hAnsi="Times New Roman" w:cs="Times New Roman"/>
          <w:color w:val="auto"/>
          <w:sz w:val="24"/>
          <w:szCs w:val="24"/>
        </w:rPr>
      </w:pPr>
      <w:r w:rsidRPr="00884C07">
        <w:rPr>
          <w:rFonts w:ascii="Times New Roman" w:hAnsi="Times New Roman" w:cs="Times New Roman"/>
          <w:color w:val="auto"/>
          <w:sz w:val="24"/>
          <w:szCs w:val="24"/>
        </w:rPr>
        <w:t>I årsredovisningen för 2019 i not 5 anges den totala ersättningen och de övriga förmåner som utgått till de ledande befattningshavarna under året.</w:t>
      </w:r>
      <w:bookmarkEnd w:id="1"/>
    </w:p>
    <w:p w14:paraId="17A2612A" w14:textId="77777777" w:rsidR="00E30306" w:rsidRPr="00884C07" w:rsidRDefault="00E30306"/>
    <w:sectPr w:rsidR="00E30306" w:rsidRPr="00884C07" w:rsidSect="00884C07">
      <w:headerReference w:type="default" r:id="rId7"/>
      <w:pgSz w:w="11906" w:h="16838"/>
      <w:pgMar w:top="1702"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AD402" w14:textId="77777777" w:rsidR="001C6F85" w:rsidRDefault="001C6F85" w:rsidP="00A32014">
      <w:r>
        <w:separator/>
      </w:r>
    </w:p>
  </w:endnote>
  <w:endnote w:type="continuationSeparator" w:id="0">
    <w:p w14:paraId="7501D8E6" w14:textId="77777777" w:rsidR="001C6F85" w:rsidRDefault="001C6F85" w:rsidP="00A3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oSansW1G-Light">
    <w:altName w:val="Calibri"/>
    <w:charset w:val="00"/>
    <w:family w:val="auto"/>
    <w:pitch w:val="variable"/>
    <w:sig w:usb0="80000287" w:usb1="0000004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B23A2" w14:textId="77777777" w:rsidR="001C6F85" w:rsidRDefault="001C6F85" w:rsidP="00A32014">
      <w:r>
        <w:separator/>
      </w:r>
    </w:p>
  </w:footnote>
  <w:footnote w:type="continuationSeparator" w:id="0">
    <w:p w14:paraId="4665E6F6" w14:textId="77777777" w:rsidR="001C6F85" w:rsidRDefault="001C6F85" w:rsidP="00A3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B7E39" w14:textId="77777777" w:rsidR="00A32014" w:rsidRDefault="00A32014">
    <w:pPr>
      <w:pStyle w:val="Sidhuvud"/>
    </w:pPr>
    <w:r>
      <w:tab/>
    </w:r>
    <w:r>
      <w:tab/>
    </w:r>
    <w:r>
      <w:rPr>
        <w:noProof/>
      </w:rPr>
      <w:drawing>
        <wp:inline distT="0" distB="0" distL="0" distR="0" wp14:anchorId="2D54807F" wp14:editId="1DD24761">
          <wp:extent cx="1714500" cy="419100"/>
          <wp:effectExtent l="0" t="0" r="0" b="0"/>
          <wp:docPr id="4" name="Bild 1" descr="Description: Ortiv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Ortivu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191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31F20"/>
    <w:multiLevelType w:val="hybridMultilevel"/>
    <w:tmpl w:val="79981F2C"/>
    <w:lvl w:ilvl="0" w:tplc="2202F2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D3"/>
    <w:rsid w:val="00012370"/>
    <w:rsid w:val="001677A3"/>
    <w:rsid w:val="00194FCA"/>
    <w:rsid w:val="001C6F85"/>
    <w:rsid w:val="002016D4"/>
    <w:rsid w:val="00232662"/>
    <w:rsid w:val="00241F6A"/>
    <w:rsid w:val="002C4C6D"/>
    <w:rsid w:val="002D2DAC"/>
    <w:rsid w:val="00324732"/>
    <w:rsid w:val="003275E1"/>
    <w:rsid w:val="003E153B"/>
    <w:rsid w:val="00434D04"/>
    <w:rsid w:val="004373B5"/>
    <w:rsid w:val="004805C7"/>
    <w:rsid w:val="00494A07"/>
    <w:rsid w:val="004F28B4"/>
    <w:rsid w:val="0056487B"/>
    <w:rsid w:val="00574D62"/>
    <w:rsid w:val="005A05C9"/>
    <w:rsid w:val="005F6957"/>
    <w:rsid w:val="005F7259"/>
    <w:rsid w:val="006E4B94"/>
    <w:rsid w:val="006F043B"/>
    <w:rsid w:val="00746AF3"/>
    <w:rsid w:val="007C4BB1"/>
    <w:rsid w:val="00803B6D"/>
    <w:rsid w:val="00862957"/>
    <w:rsid w:val="00884C07"/>
    <w:rsid w:val="008C687A"/>
    <w:rsid w:val="009037A4"/>
    <w:rsid w:val="00933C16"/>
    <w:rsid w:val="009772FE"/>
    <w:rsid w:val="00995E3F"/>
    <w:rsid w:val="009A0B33"/>
    <w:rsid w:val="009C2CF0"/>
    <w:rsid w:val="009D49F4"/>
    <w:rsid w:val="009F6D46"/>
    <w:rsid w:val="00A255E6"/>
    <w:rsid w:val="00A32014"/>
    <w:rsid w:val="00A93B2E"/>
    <w:rsid w:val="00AF5C07"/>
    <w:rsid w:val="00B93D14"/>
    <w:rsid w:val="00BE3996"/>
    <w:rsid w:val="00CA25D4"/>
    <w:rsid w:val="00CC1723"/>
    <w:rsid w:val="00D25302"/>
    <w:rsid w:val="00D338D3"/>
    <w:rsid w:val="00D36547"/>
    <w:rsid w:val="00E30306"/>
    <w:rsid w:val="00E41A9A"/>
    <w:rsid w:val="00E51514"/>
    <w:rsid w:val="00EE0E03"/>
    <w:rsid w:val="00EE707F"/>
    <w:rsid w:val="00F01EE9"/>
    <w:rsid w:val="00F02DAE"/>
    <w:rsid w:val="00F20F69"/>
    <w:rsid w:val="00F65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37121"/>
  <w15:docId w15:val="{CB9B321C-E2EC-424B-8F85-C82E3EC6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434D04"/>
    <w:rPr>
      <w:color w:val="0000FF"/>
      <w:u w:val="single"/>
    </w:rPr>
  </w:style>
  <w:style w:type="paragraph" w:styleId="Sidhuvud">
    <w:name w:val="header"/>
    <w:basedOn w:val="Normal"/>
    <w:link w:val="SidhuvudChar"/>
    <w:unhideWhenUsed/>
    <w:rsid w:val="00A32014"/>
    <w:pPr>
      <w:tabs>
        <w:tab w:val="center" w:pos="4536"/>
        <w:tab w:val="right" w:pos="9072"/>
      </w:tabs>
    </w:pPr>
  </w:style>
  <w:style w:type="character" w:customStyle="1" w:styleId="SidhuvudChar">
    <w:name w:val="Sidhuvud Char"/>
    <w:basedOn w:val="Standardstycketeckensnitt"/>
    <w:link w:val="Sidhuvud"/>
    <w:rsid w:val="00A32014"/>
    <w:rPr>
      <w:sz w:val="24"/>
      <w:szCs w:val="24"/>
    </w:rPr>
  </w:style>
  <w:style w:type="paragraph" w:styleId="Sidfot">
    <w:name w:val="footer"/>
    <w:basedOn w:val="Normal"/>
    <w:link w:val="SidfotChar"/>
    <w:unhideWhenUsed/>
    <w:rsid w:val="00A32014"/>
    <w:pPr>
      <w:tabs>
        <w:tab w:val="center" w:pos="4536"/>
        <w:tab w:val="right" w:pos="9072"/>
      </w:tabs>
    </w:pPr>
  </w:style>
  <w:style w:type="character" w:customStyle="1" w:styleId="SidfotChar">
    <w:name w:val="Sidfot Char"/>
    <w:basedOn w:val="Standardstycketeckensnitt"/>
    <w:link w:val="Sidfot"/>
    <w:rsid w:val="00A32014"/>
    <w:rPr>
      <w:sz w:val="24"/>
      <w:szCs w:val="24"/>
    </w:rPr>
  </w:style>
  <w:style w:type="paragraph" w:styleId="Ballongtext">
    <w:name w:val="Balloon Text"/>
    <w:basedOn w:val="Normal"/>
    <w:link w:val="BallongtextChar"/>
    <w:rsid w:val="00A32014"/>
    <w:rPr>
      <w:rFonts w:ascii="Tahoma" w:hAnsi="Tahoma" w:cs="Tahoma"/>
      <w:sz w:val="16"/>
      <w:szCs w:val="16"/>
    </w:rPr>
  </w:style>
  <w:style w:type="character" w:customStyle="1" w:styleId="BallongtextChar">
    <w:name w:val="Ballongtext Char"/>
    <w:basedOn w:val="Standardstycketeckensnitt"/>
    <w:link w:val="Ballongtext"/>
    <w:rsid w:val="00A32014"/>
    <w:rPr>
      <w:rFonts w:ascii="Tahoma" w:hAnsi="Tahoma" w:cs="Tahoma"/>
      <w:sz w:val="16"/>
      <w:szCs w:val="16"/>
    </w:rPr>
  </w:style>
  <w:style w:type="character" w:customStyle="1" w:styleId="Olstomnmnande1">
    <w:name w:val="Olöst omnämnande1"/>
    <w:basedOn w:val="Standardstycketeckensnitt"/>
    <w:uiPriority w:val="99"/>
    <w:semiHidden/>
    <w:unhideWhenUsed/>
    <w:rsid w:val="002D2DAC"/>
    <w:rPr>
      <w:color w:val="605E5C"/>
      <w:shd w:val="clear" w:color="auto" w:fill="E1DFDD"/>
    </w:rPr>
  </w:style>
  <w:style w:type="paragraph" w:styleId="Ingetavstnd">
    <w:name w:val="No Spacing"/>
    <w:basedOn w:val="Normal"/>
    <w:uiPriority w:val="1"/>
    <w:qFormat/>
    <w:rsid w:val="00884C07"/>
    <w:pPr>
      <w:spacing w:after="200" w:line="276" w:lineRule="auto"/>
    </w:pPr>
    <w:rPr>
      <w:rFonts w:ascii="Arial" w:eastAsiaTheme="minorHAnsi" w:hAnsi="Arial" w:cs="Arial"/>
      <w:color w:val="40404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1313</Words>
  <Characters>8714</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Redogörelse för hur valberedningen bedrivit sitt arbete samt valberedningens förslag till årsstämman i Ortivus AB (publ) den 3 maj 2012</vt:lpstr>
      <vt:lpstr>Redogörelse för hur valberedningen bedrivit sitt arbete samt valberedningens förslag till årsstämman i Ortivus AB (publ) den 3 maj 2012</vt:lpstr>
    </vt:vector>
  </TitlesOfParts>
  <Company>WM-data</Company>
  <LinksUpToDate>false</LinksUpToDate>
  <CharactersWithSpaces>10007</CharactersWithSpaces>
  <SharedDoc>false</SharedDoc>
  <HLinks>
    <vt:vector size="6" baseType="variant">
      <vt:variant>
        <vt:i4>3866751</vt:i4>
      </vt:variant>
      <vt:variant>
        <vt:i4>0</vt:i4>
      </vt:variant>
      <vt:variant>
        <vt:i4>0</vt:i4>
      </vt:variant>
      <vt:variant>
        <vt:i4>5</vt:i4>
      </vt:variant>
      <vt:variant>
        <vt:lpwstr>http://www.ortivus.com/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för hur valberedningen bedrivit sitt arbete samt valberedningens förslag till årsstämman i Ortivus AB (publ) den 3 maj 2012</dc:title>
  <dc:creator>stjernfeltc</dc:creator>
  <cp:lastModifiedBy>Lars Höst</cp:lastModifiedBy>
  <cp:revision>4</cp:revision>
  <cp:lastPrinted>2020-03-17T12:49:00Z</cp:lastPrinted>
  <dcterms:created xsi:type="dcterms:W3CDTF">2020-03-23T11:58:00Z</dcterms:created>
  <dcterms:modified xsi:type="dcterms:W3CDTF">2020-03-24T12:41:00Z</dcterms:modified>
</cp:coreProperties>
</file>